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media/image1.png" ContentType="image/png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40" w:after="40"/>
        <w:jc w:val="center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E2231A"/>
          <w:sz w:val="24"/>
          <w:szCs w:val="24"/>
          <w:lang w:val="ru-RU"/>
        </w:rPr>
        <w:tab/>
      </w:r>
    </w:p>
    <w:p>
      <w:pPr>
        <w:pStyle w:val="Normal"/>
        <w:spacing w:before="40" w:after="40"/>
        <w:jc w:val="center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>КОНЦЕПЦИЯ</w:t>
      </w:r>
    </w:p>
    <w:p>
      <w:pPr>
        <w:pStyle w:val="Normal"/>
        <w:spacing w:before="0" w:after="60"/>
        <w:jc w:val="center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>Всероссийской акции «10 000 шагов к жизни»</w:t>
        <w:br/>
        <w:t>с международным участием</w:t>
      </w:r>
    </w:p>
    <w:p>
      <w:pPr>
        <w:pStyle w:val="Normal"/>
        <w:spacing w:before="0" w:after="240"/>
        <w:jc w:val="center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666666"/>
          <w:sz w:val="24"/>
          <w:szCs w:val="24"/>
          <w:lang w:val="ru-RU"/>
        </w:rPr>
        <w:t>27 сентября - 4 октября 2026 года</w:t>
      </w:r>
    </w:p>
    <w:p>
      <w:pPr>
        <w:pStyle w:val="SectionHeading"/>
        <w:pBdr>
          <w:bottom w:val="single" w:sz="8" w:space="1" w:color="17365D"/>
        </w:pBdr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ПРЕАМБУЛА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Всероссийская акция «10 000 шагов к жизни» проводится в рамках проекта «Каждому муниципалитету - умный маршрут здоровья», реализуемого при поддержке Фонда президентских грантов, и в логике достижения национальных целей развития Российской Федерации.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Акция соответствует задачам Указа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 и национального проекта «Продолжительная и активная жизнь», предусматривающего увеличение ожидаемой продолжительности жизни до 78 лет к 2030 году и до 81 года к 2036 году, в том числе опережающий рост ожидаемой продолжительности здоровой жизни.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Акция также учитывает положения Стратегии развития здравоохранения Российской Федерации на период до 2030 года, утверждённой Указом Президента Российской Федерации от 8 декабря 2025 года № 896. Одним из приоритетных направлений Стратегии является формирование среды, способствующей сбережению здоровья, посредством разработки и реализации региональных, муниципальных и корпоративных программ укрепления здоровья граждан.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Акция направлена на повышение ежедневной двигательной активности. Всемирная организация здравоохранения рекомендует взрослым 150-300 минут аэробной физической активности умеренной интенсивности в неделю либо 75-150 минут высокой интенсивности, подчёркивая, что любая физическая активность лучше её отсутствия и что учитывается в том числе ходьба как способ передвижения и повседневной активности. Символические 10 000 шагов используются в Акции как понятный мотивационный ориентир для увеличения повседневной двигательной активности.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Акция проводится с 2015 года на различных площадках страны и является одним из элементов общероссийской общественной программы Лиги здоровья нации «Здоровый муниципалитет» и проекта «Каждому муниципалитету - умный маршрут здоровья».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Ежегодно две федеральные акции «10 000 шагов к жизни» и региональные мероприятия, проводимые в течение года, объединяют более миллиона участников.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С 2024 года Акция проводится также в формате Дня единых действий в рамках мероприятий по поддержке волонтёрского движения в Содружестве Независимых Государств.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Акция размещена на платформе «Добро.ру» как «доброе дело» Лиги здоровья нации. Волонтёры могут зарегистрироваться для участия в организации мероприятий; волонтёрам Российской Федерации начисляются верифицированные волонтёрские часы в соответствии с правилами платформы.</w:t>
      </w:r>
    </w:p>
    <w:p>
      <w:pPr>
        <w:pStyle w:val="SectionHeading"/>
        <w:pBdr>
          <w:bottom w:val="single" w:sz="8" w:space="1" w:color="17365D"/>
        </w:pBdr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АКЦИЯ «10 000 ШАГОВ К ЖИЗНИ» - 2026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Федеральная акция состоится 27 сентября 2026 года и приурочена к Всемирному дню сердца, который ежегодно отмечается 29 сентября.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Региональные и муниципальные мероприятия могут быть проведены 27 сентября 2026 года либо в один из дней Недели ответственного отношения к сердцу с 28 сентября по 4 октября 2026 года, предусмотренной Планом региональных тематических мероприятий Минздрава России, направленных на профилактику заболеваний и формирование здорового образа жизни (№ 21-5/И/2-25692 от 23.12.2025).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В материалах Всемирного дня сердца 2026 года используется призыв «</w:t>
      </w:r>
      <w:r>
        <w:rPr>
          <w:rFonts w:eastAsia="Arial" w:ascii="Times New Roman" w:hAnsi="Times New Roman"/>
          <w:sz w:val="24"/>
          <w:szCs w:val="24"/>
        </w:rPr>
        <w:t>Don</w:t>
      </w:r>
      <w:r>
        <w:rPr>
          <w:rFonts w:eastAsia="Arial" w:ascii="Times New Roman" w:hAnsi="Times New Roman"/>
          <w:sz w:val="24"/>
          <w:szCs w:val="24"/>
          <w:lang w:val="ru-RU"/>
        </w:rPr>
        <w:t>’</w:t>
      </w:r>
      <w:r>
        <w:rPr>
          <w:rFonts w:eastAsia="Arial" w:ascii="Times New Roman" w:hAnsi="Times New Roman"/>
          <w:sz w:val="24"/>
          <w:szCs w:val="24"/>
        </w:rPr>
        <w:t>t</w:t>
      </w:r>
      <w:r>
        <w:rPr>
          <w:rFonts w:eastAsia="Arial" w:ascii="Times New Roman" w:hAnsi="Times New Roman"/>
          <w:sz w:val="24"/>
          <w:szCs w:val="24"/>
          <w:lang w:val="ru-RU"/>
        </w:rPr>
        <w:t xml:space="preserve"> </w:t>
      </w:r>
      <w:r>
        <w:rPr>
          <w:rFonts w:eastAsia="Arial" w:ascii="Times New Roman" w:hAnsi="Times New Roman"/>
          <w:sz w:val="24"/>
          <w:szCs w:val="24"/>
        </w:rPr>
        <w:t>Miss</w:t>
      </w:r>
      <w:r>
        <w:rPr>
          <w:rFonts w:eastAsia="Arial" w:ascii="Times New Roman" w:hAnsi="Times New Roman"/>
          <w:sz w:val="24"/>
          <w:szCs w:val="24"/>
          <w:lang w:val="ru-RU"/>
        </w:rPr>
        <w:t xml:space="preserve"> </w:t>
      </w:r>
      <w:r>
        <w:rPr>
          <w:rFonts w:eastAsia="Arial" w:ascii="Times New Roman" w:hAnsi="Times New Roman"/>
          <w:sz w:val="24"/>
          <w:szCs w:val="24"/>
        </w:rPr>
        <w:t>a</w:t>
      </w:r>
      <w:r>
        <w:rPr>
          <w:rFonts w:eastAsia="Arial" w:ascii="Times New Roman" w:hAnsi="Times New Roman"/>
          <w:sz w:val="24"/>
          <w:szCs w:val="24"/>
          <w:lang w:val="ru-RU"/>
        </w:rPr>
        <w:t xml:space="preserve"> </w:t>
      </w:r>
      <w:r>
        <w:rPr>
          <w:rFonts w:eastAsia="Arial" w:ascii="Times New Roman" w:hAnsi="Times New Roman"/>
          <w:sz w:val="24"/>
          <w:szCs w:val="24"/>
        </w:rPr>
        <w:t>Beat</w:t>
      </w:r>
      <w:r>
        <w:rPr>
          <w:rFonts w:eastAsia="Arial" w:ascii="Times New Roman" w:hAnsi="Times New Roman"/>
          <w:sz w:val="24"/>
          <w:szCs w:val="24"/>
          <w:lang w:val="ru-RU"/>
        </w:rPr>
        <w:t>» («Не пропусти удар»), обращающий внимание на своевременное распознавание признаков сердечно-сосудистых заболеваний и заботу о здоровье сердца. Направление «</w:t>
      </w:r>
      <w:r>
        <w:rPr>
          <w:rFonts w:eastAsia="Arial" w:ascii="Times New Roman" w:hAnsi="Times New Roman"/>
          <w:sz w:val="24"/>
          <w:szCs w:val="24"/>
        </w:rPr>
        <w:t>Keep</w:t>
      </w:r>
      <w:r>
        <w:rPr>
          <w:rFonts w:eastAsia="Arial" w:ascii="Times New Roman" w:hAnsi="Times New Roman"/>
          <w:sz w:val="24"/>
          <w:szCs w:val="24"/>
          <w:lang w:val="ru-RU"/>
        </w:rPr>
        <w:t xml:space="preserve"> </w:t>
      </w:r>
      <w:r>
        <w:rPr>
          <w:rFonts w:eastAsia="Arial" w:ascii="Times New Roman" w:hAnsi="Times New Roman"/>
          <w:sz w:val="24"/>
          <w:szCs w:val="24"/>
        </w:rPr>
        <w:t>the</w:t>
      </w:r>
      <w:r>
        <w:rPr>
          <w:rFonts w:eastAsia="Arial" w:ascii="Times New Roman" w:hAnsi="Times New Roman"/>
          <w:sz w:val="24"/>
          <w:szCs w:val="24"/>
          <w:lang w:val="ru-RU"/>
        </w:rPr>
        <w:t xml:space="preserve"> </w:t>
      </w:r>
      <w:r>
        <w:rPr>
          <w:rFonts w:eastAsia="Arial" w:ascii="Times New Roman" w:hAnsi="Times New Roman"/>
          <w:sz w:val="24"/>
          <w:szCs w:val="24"/>
        </w:rPr>
        <w:t>Beat</w:t>
      </w:r>
      <w:r>
        <w:rPr>
          <w:rFonts w:eastAsia="Arial" w:ascii="Times New Roman" w:hAnsi="Times New Roman"/>
          <w:sz w:val="24"/>
          <w:szCs w:val="24"/>
          <w:lang w:val="ru-RU"/>
        </w:rPr>
        <w:t>» («Держи ритм») мотивирует к регулярной физической активности и небольшим устойчивым изменениям образа жизни.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Акция «10 000 шагов к жизни» отвечает этим принципам через простое и доступное действие - ходьбу. Участникам предлагается пройти символические 10 000 шагов по маршрутам здоровья, объединяя профилактику сердечно-сосудистых заболеваний, повышение физической активности и формирование устойчивой привычки к движению.</w:t>
      </w:r>
    </w:p>
    <w:p>
      <w:pPr>
        <w:pStyle w:val="SectionHeading"/>
        <w:pBdr>
          <w:bottom w:val="single" w:sz="8" w:space="1" w:color="17365D"/>
        </w:pBdr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</w:rPr>
        <w:t>ОРГАНИЗАТОРЫ И ПАРТНЁРЫ</w:t>
      </w:r>
    </w:p>
    <w:tbl>
      <w:tblPr>
        <w:tblW w:w="9581" w:type="dxa"/>
        <w:jc w:val="center"/>
        <w:tblInd w:w="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noVBand="1" w:val="04a0" w:noHBand="0" w:lastColumn="0" w:firstColumn="1" w:lastRow="0" w:firstRow="1"/>
      </w:tblPr>
      <w:tblGrid>
        <w:gridCol w:w="2438"/>
        <w:gridCol w:w="7142"/>
      </w:tblGrid>
      <w:tr>
        <w:trPr/>
        <w:tc>
          <w:tcPr>
            <w:tcW w:w="243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color="auto" w:fill="EAF0F6" w:val="clear"/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b/>
                <w:color w:val="17365D"/>
                <w:sz w:val="24"/>
                <w:szCs w:val="24"/>
              </w:rPr>
              <w:t>Инициатор и организатор</w:t>
            </w:r>
          </w:p>
        </w:tc>
        <w:tc>
          <w:tcPr>
            <w:tcW w:w="714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Arial" w:ascii="Times New Roman" w:hAnsi="Times New Roman"/>
                <w:sz w:val="24"/>
                <w:szCs w:val="24"/>
                <w:lang w:val="ru-RU"/>
              </w:rPr>
              <w:t>Общероссийская общественная организация «Лига здоровья нации»</w:t>
            </w:r>
          </w:p>
        </w:tc>
      </w:tr>
      <w:tr>
        <w:trPr/>
        <w:tc>
          <w:tcPr>
            <w:tcW w:w="243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color="auto" w:fill="EAF0F6" w:val="clear"/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b/>
                <w:color w:val="17365D"/>
                <w:sz w:val="24"/>
                <w:szCs w:val="24"/>
              </w:rPr>
              <w:t>Соорганизаторы</w:t>
            </w:r>
          </w:p>
        </w:tc>
        <w:tc>
          <w:tcPr>
            <w:tcW w:w="714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sz w:val="24"/>
                <w:szCs w:val="24"/>
                <w:lang w:val="ru-RU"/>
              </w:rPr>
              <w:t xml:space="preserve">Всероссийская ассоциация развития местного самоуправления (ВАРМСУ); МГТУ им. </w:t>
            </w:r>
            <w:r>
              <w:rPr>
                <w:rFonts w:eastAsia="Arial" w:ascii="Times New Roman" w:hAnsi="Times New Roman"/>
                <w:sz w:val="24"/>
                <w:szCs w:val="24"/>
              </w:rPr>
              <w:t>Н.Э. Баумана</w:t>
            </w:r>
          </w:p>
        </w:tc>
      </w:tr>
      <w:tr>
        <w:trPr/>
        <w:tc>
          <w:tcPr>
            <w:tcW w:w="243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color="auto" w:fill="EAF0F6" w:val="clear"/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b/>
                <w:color w:val="17365D"/>
                <w:sz w:val="24"/>
                <w:szCs w:val="24"/>
              </w:rPr>
              <w:t>Экспертный партнёр</w:t>
            </w:r>
          </w:p>
        </w:tc>
        <w:tc>
          <w:tcPr>
            <w:tcW w:w="714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Arial" w:ascii="Times New Roman" w:hAnsi="Times New Roman"/>
                <w:sz w:val="24"/>
                <w:szCs w:val="24"/>
                <w:lang w:val="ru-RU"/>
              </w:rPr>
              <w:t>Ассоциация сердечно-сосудистых хирургов России</w:t>
            </w:r>
          </w:p>
        </w:tc>
      </w:tr>
      <w:tr>
        <w:trPr/>
        <w:tc>
          <w:tcPr>
            <w:tcW w:w="243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color="auto" w:fill="EAF0F6" w:val="clear"/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b/>
                <w:color w:val="17365D"/>
                <w:sz w:val="24"/>
                <w:szCs w:val="24"/>
              </w:rPr>
              <w:t>Партнёр</w:t>
            </w:r>
          </w:p>
        </w:tc>
        <w:tc>
          <w:tcPr>
            <w:tcW w:w="714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sz w:val="24"/>
                <w:szCs w:val="24"/>
              </w:rPr>
              <w:t>Команда «Звёздный десант»</w:t>
            </w:r>
          </w:p>
        </w:tc>
      </w:tr>
      <w:tr>
        <w:trPr/>
        <w:tc>
          <w:tcPr>
            <w:tcW w:w="243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color="auto" w:fill="EAF0F6" w:val="clear"/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b/>
                <w:color w:val="17365D"/>
                <w:sz w:val="24"/>
                <w:szCs w:val="24"/>
              </w:rPr>
              <w:t>При поддержке</w:t>
            </w:r>
          </w:p>
        </w:tc>
        <w:tc>
          <w:tcPr>
            <w:tcW w:w="714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Arial" w:ascii="Times New Roman" w:hAnsi="Times New Roman"/>
                <w:sz w:val="24"/>
                <w:szCs w:val="24"/>
                <w:lang w:val="ru-RU"/>
              </w:rPr>
              <w:t>Фонд президентских грантов; Министерство спорта Российской Федерации; Министерство здравоохранения Российской Федерации; Министерство науки и высшего образования Российской Федерации</w:t>
            </w:r>
          </w:p>
        </w:tc>
      </w:tr>
      <w:tr>
        <w:trPr/>
        <w:tc>
          <w:tcPr>
            <w:tcW w:w="243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color="auto" w:fill="EAF0F6" w:val="clear"/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b/>
                <w:color w:val="17365D"/>
                <w:sz w:val="24"/>
                <w:szCs w:val="24"/>
              </w:rPr>
              <w:t>Региональные и муниципальные площадки</w:t>
            </w:r>
          </w:p>
        </w:tc>
        <w:tc>
          <w:tcPr>
            <w:tcW w:w="7142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Arial" w:ascii="Times New Roman" w:hAnsi="Times New Roman"/>
                <w:sz w:val="24"/>
                <w:szCs w:val="24"/>
                <w:lang w:val="ru-RU"/>
              </w:rPr>
              <w:t>Организуются органами исполнительной власти субъектов Российской Федерации, органами местного самоуправления и уполномоченными организациями на местах</w:t>
            </w:r>
          </w:p>
        </w:tc>
      </w:tr>
    </w:tbl>
    <w:p>
      <w:pPr>
        <w:pStyle w:val="SectionHeading"/>
        <w:pBdr>
          <w:bottom w:val="single" w:sz="8" w:space="1" w:color="17365D"/>
        </w:pBdr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ЦЕЛЬ И ЗАДАЧИ</w:t>
      </w:r>
    </w:p>
    <w:p>
      <w:pPr>
        <w:pStyle w:val="Subheading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Цель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Пропаганда ценностей здорового образа жизни, профилактика заболеваний, повышение повседневной физической активности населения, развитие доступной инфраструктуры ходьбы и движения «Волонтёры за ЗОЖ».</w:t>
      </w:r>
    </w:p>
    <w:p>
      <w:pPr>
        <w:pStyle w:val="Subheading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Задачи</w:t>
      </w:r>
    </w:p>
    <w:p>
      <w:pPr>
        <w:pStyle w:val="Normal"/>
        <w:spacing w:before="0" w:after="60"/>
        <w:ind w:left="397" w:hanging="198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• </w:t>
      </w:r>
      <w:r>
        <w:rPr>
          <w:rFonts w:eastAsia="Arial" w:ascii="Times New Roman" w:hAnsi="Times New Roman"/>
          <w:sz w:val="24"/>
          <w:szCs w:val="24"/>
          <w:lang w:val="ru-RU"/>
        </w:rPr>
        <w:t>повышение мотивации граждан к регулярной физической активности и снижению малоподвижного поведения;</w:t>
      </w:r>
    </w:p>
    <w:p>
      <w:pPr>
        <w:pStyle w:val="Normal"/>
        <w:spacing w:before="0" w:after="60"/>
        <w:ind w:left="397" w:hanging="198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• </w:t>
      </w:r>
      <w:r>
        <w:rPr>
          <w:rFonts w:eastAsia="Arial" w:ascii="Times New Roman" w:hAnsi="Times New Roman"/>
          <w:sz w:val="24"/>
          <w:szCs w:val="24"/>
          <w:lang w:val="ru-RU"/>
        </w:rPr>
        <w:t>формирование устойчивой привычки к ходьбе как одному из наиболее доступных видов двигательной активности;</w:t>
      </w:r>
    </w:p>
    <w:p>
      <w:pPr>
        <w:pStyle w:val="Normal"/>
        <w:spacing w:before="0" w:after="60"/>
        <w:ind w:left="397" w:hanging="198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• </w:t>
      </w:r>
      <w:r>
        <w:rPr>
          <w:rFonts w:eastAsia="Arial" w:ascii="Times New Roman" w:hAnsi="Times New Roman"/>
          <w:sz w:val="24"/>
          <w:szCs w:val="24"/>
          <w:lang w:val="ru-RU"/>
        </w:rPr>
        <w:t>содействие профилактике сердечно-сосудистых и других хронических неинфекционных заболеваний;</w:t>
      </w:r>
    </w:p>
    <w:p>
      <w:pPr>
        <w:pStyle w:val="Normal"/>
        <w:spacing w:before="0" w:after="60"/>
        <w:ind w:left="397" w:hanging="198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• </w:t>
      </w:r>
      <w:r>
        <w:rPr>
          <w:rFonts w:eastAsia="Arial" w:ascii="Times New Roman" w:hAnsi="Times New Roman"/>
          <w:sz w:val="24"/>
          <w:szCs w:val="24"/>
          <w:lang w:val="ru-RU"/>
        </w:rPr>
        <w:t>вовлечение регионов и муниципалитетов в развитие маршрутов здоровья и локальных программ укрепления общественного здоровья;</w:t>
      </w:r>
    </w:p>
    <w:p>
      <w:pPr>
        <w:pStyle w:val="Normal"/>
        <w:spacing w:before="0" w:after="60"/>
        <w:ind w:left="397" w:hanging="198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• </w:t>
      </w:r>
      <w:r>
        <w:rPr>
          <w:rFonts w:eastAsia="Arial" w:ascii="Times New Roman" w:hAnsi="Times New Roman"/>
          <w:sz w:val="24"/>
          <w:szCs w:val="24"/>
          <w:lang w:val="ru-RU"/>
        </w:rPr>
        <w:t>развитие движения «Волонтёры за ЗОЖ», вовлечение волонтёров-инструкторов ЗОЖ и капитанов команд программы «Человек идущий», в том числе развитие взаимодействия с волонтёрскими организациями государств - участников СНГ;</w:t>
      </w:r>
    </w:p>
    <w:p>
      <w:pPr>
        <w:pStyle w:val="Normal"/>
        <w:spacing w:before="0" w:after="60"/>
        <w:ind w:left="397" w:hanging="198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• </w:t>
      </w:r>
      <w:r>
        <w:rPr>
          <w:rFonts w:eastAsia="Arial" w:ascii="Times New Roman" w:hAnsi="Times New Roman"/>
          <w:sz w:val="24"/>
          <w:szCs w:val="24"/>
          <w:lang w:val="ru-RU"/>
        </w:rPr>
        <w:t>формирование знаний и навыков, способствующих сохранению здоровья и работоспособности.</w:t>
      </w:r>
    </w:p>
    <w:p>
      <w:pPr>
        <w:pStyle w:val="Subheading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Участники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Граждане всех возрастов, жители муниципальных образований, представители трудовых коллективов и образовательных организаций, участники программы «Человек идущий», волонтёрские организации и движения, общественные объединения.</w:t>
      </w:r>
    </w:p>
    <w:p>
      <w:pPr>
        <w:pStyle w:val="SectionHeading"/>
        <w:pBdr>
          <w:bottom w:val="single" w:sz="8" w:space="1" w:color="17365D"/>
        </w:pBdr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ПОРЯДОК ПОДГОТОВКИ И ПРОВЕДЕНИЯ АКЦИИ</w:t>
      </w:r>
    </w:p>
    <w:p>
      <w:pPr>
        <w:pStyle w:val="Subheading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1. Подготовительный этап</w:t>
      </w:r>
    </w:p>
    <w:p>
      <w:pPr>
        <w:pStyle w:val="Normal"/>
        <w:spacing w:before="0" w:after="60"/>
        <w:ind w:left="397" w:hanging="198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• </w:t>
      </w:r>
      <w:r>
        <w:rPr>
          <w:rFonts w:eastAsia="Arial" w:ascii="Times New Roman" w:hAnsi="Times New Roman"/>
          <w:sz w:val="24"/>
          <w:szCs w:val="24"/>
          <w:lang w:val="ru-RU"/>
        </w:rPr>
        <w:t>согласование концепции Акции с заинтересованными организациями и структурами;</w:t>
      </w:r>
    </w:p>
    <w:p>
      <w:pPr>
        <w:pStyle w:val="Normal"/>
        <w:spacing w:before="0" w:after="60"/>
        <w:ind w:left="397" w:hanging="198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• </w:t>
      </w:r>
      <w:r>
        <w:rPr>
          <w:rFonts w:eastAsia="Arial" w:ascii="Times New Roman" w:hAnsi="Times New Roman"/>
          <w:sz w:val="24"/>
          <w:szCs w:val="24"/>
          <w:lang w:val="ru-RU"/>
        </w:rPr>
        <w:t>определение ответственных исполнителей в субъектах Российской Федерации и муниципальных образованиях;</w:t>
      </w:r>
    </w:p>
    <w:p>
      <w:pPr>
        <w:pStyle w:val="Normal"/>
        <w:spacing w:before="0" w:after="60"/>
        <w:ind w:left="397" w:hanging="198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• </w:t>
      </w:r>
      <w:r>
        <w:rPr>
          <w:rFonts w:eastAsia="Arial" w:ascii="Times New Roman" w:hAnsi="Times New Roman"/>
          <w:sz w:val="24"/>
          <w:szCs w:val="24"/>
          <w:lang w:val="ru-RU"/>
        </w:rPr>
        <w:t>направление организаторам на местах регламента проведения Акции, рекомендаций по оформлению площадок, бренд-материалов и формы отчётности;</w:t>
      </w:r>
    </w:p>
    <w:p>
      <w:pPr>
        <w:pStyle w:val="Normal"/>
        <w:spacing w:before="0" w:after="60"/>
        <w:ind w:left="397" w:hanging="198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• </w:t>
      </w:r>
      <w:r>
        <w:rPr>
          <w:rFonts w:eastAsia="Arial" w:ascii="Times New Roman" w:hAnsi="Times New Roman"/>
          <w:sz w:val="24"/>
          <w:szCs w:val="24"/>
          <w:lang w:val="ru-RU"/>
        </w:rPr>
        <w:t xml:space="preserve">проведение 22 сентября 2026 года в 11:00 онлайн-заседания рабочей группы и инструктажа организаторов Акции на местах; ссылка на трансляцию: </w:t>
      </w:r>
      <w:r>
        <w:rPr>
          <w:rFonts w:eastAsia="Arial" w:ascii="Times New Roman" w:hAnsi="Times New Roman"/>
          <w:sz w:val="24"/>
          <w:szCs w:val="24"/>
        </w:rPr>
        <w:t>https</w:t>
      </w:r>
      <w:r>
        <w:rPr>
          <w:rFonts w:eastAsia="Arial" w:ascii="Times New Roman" w:hAnsi="Times New Roman"/>
          <w:sz w:val="24"/>
          <w:szCs w:val="24"/>
          <w:lang w:val="ru-RU"/>
        </w:rPr>
        <w:t>://</w:t>
      </w:r>
      <w:r>
        <w:rPr>
          <w:rFonts w:eastAsia="Arial" w:ascii="Times New Roman" w:hAnsi="Times New Roman"/>
          <w:sz w:val="24"/>
          <w:szCs w:val="24"/>
        </w:rPr>
        <w:t>vk</w:t>
      </w:r>
      <w:r>
        <w:rPr>
          <w:rFonts w:eastAsia="Arial" w:ascii="Times New Roman" w:hAnsi="Times New Roman"/>
          <w:sz w:val="24"/>
          <w:szCs w:val="24"/>
          <w:lang w:val="ru-RU"/>
        </w:rPr>
        <w:t>.</w:t>
      </w:r>
      <w:r>
        <w:rPr>
          <w:rFonts w:eastAsia="Arial" w:ascii="Times New Roman" w:hAnsi="Times New Roman"/>
          <w:sz w:val="24"/>
          <w:szCs w:val="24"/>
        </w:rPr>
        <w:t>ru</w:t>
      </w:r>
      <w:r>
        <w:rPr>
          <w:rFonts w:eastAsia="Arial" w:ascii="Times New Roman" w:hAnsi="Times New Roman"/>
          <w:sz w:val="24"/>
          <w:szCs w:val="24"/>
          <w:lang w:val="ru-RU"/>
        </w:rPr>
        <w:t>/10</w:t>
      </w:r>
      <w:r>
        <w:rPr>
          <w:rFonts w:eastAsia="Arial" w:ascii="Times New Roman" w:hAnsi="Times New Roman"/>
          <w:sz w:val="24"/>
          <w:szCs w:val="24"/>
        </w:rPr>
        <w:t>kstepstolife</w:t>
      </w:r>
      <w:r>
        <w:rPr>
          <w:rFonts w:eastAsia="Arial" w:ascii="Times New Roman" w:hAnsi="Times New Roman"/>
          <w:sz w:val="24"/>
          <w:szCs w:val="24"/>
          <w:lang w:val="ru-RU"/>
        </w:rPr>
        <w:t>?</w:t>
      </w:r>
      <w:r>
        <w:rPr>
          <w:rFonts w:eastAsia="Arial" w:ascii="Times New Roman" w:hAnsi="Times New Roman"/>
          <w:sz w:val="24"/>
          <w:szCs w:val="24"/>
        </w:rPr>
        <w:t>z</w:t>
      </w:r>
      <w:r>
        <w:rPr>
          <w:rFonts w:eastAsia="Arial" w:ascii="Times New Roman" w:hAnsi="Times New Roman"/>
          <w:sz w:val="24"/>
          <w:szCs w:val="24"/>
          <w:lang w:val="ru-RU"/>
        </w:rPr>
        <w:t>=</w:t>
      </w:r>
      <w:r>
        <w:rPr>
          <w:rFonts w:eastAsia="Arial" w:ascii="Times New Roman" w:hAnsi="Times New Roman"/>
          <w:sz w:val="24"/>
          <w:szCs w:val="24"/>
        </w:rPr>
        <w:t>video</w:t>
      </w:r>
      <w:r>
        <w:rPr>
          <w:rFonts w:eastAsia="Arial" w:ascii="Times New Roman" w:hAnsi="Times New Roman"/>
          <w:sz w:val="24"/>
          <w:szCs w:val="24"/>
          <w:lang w:val="ru-RU"/>
        </w:rPr>
        <w:t>-77565823_456239492;</w:t>
      </w:r>
    </w:p>
    <w:p>
      <w:pPr>
        <w:pStyle w:val="Normal"/>
        <w:spacing w:before="0" w:after="60"/>
        <w:ind w:left="397" w:hanging="198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• </w:t>
      </w:r>
      <w:r>
        <w:rPr>
          <w:rFonts w:eastAsia="Arial" w:ascii="Times New Roman" w:hAnsi="Times New Roman"/>
          <w:sz w:val="24"/>
          <w:szCs w:val="24"/>
          <w:lang w:val="ru-RU"/>
        </w:rPr>
        <w:t>информационное сопровождение и регистрация участников.</w:t>
      </w:r>
    </w:p>
    <w:p>
      <w:pPr>
        <w:pStyle w:val="Subheading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2. Регистрация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 xml:space="preserve">Регистрация участников Акции проводится на сайте Лиги здоровья нации: </w:t>
      </w:r>
      <w:r>
        <w:rPr>
          <w:rFonts w:eastAsia="Arial" w:ascii="Times New Roman" w:hAnsi="Times New Roman"/>
          <w:sz w:val="24"/>
          <w:szCs w:val="24"/>
        </w:rPr>
        <w:t>https</w:t>
      </w:r>
      <w:r>
        <w:rPr>
          <w:rFonts w:eastAsia="Arial" w:ascii="Times New Roman" w:hAnsi="Times New Roman"/>
          <w:sz w:val="24"/>
          <w:szCs w:val="24"/>
          <w:lang w:val="ru-RU"/>
        </w:rPr>
        <w:t>://</w:t>
      </w:r>
      <w:r>
        <w:rPr>
          <w:rFonts w:eastAsia="Arial" w:ascii="Times New Roman" w:hAnsi="Times New Roman"/>
          <w:sz w:val="24"/>
          <w:szCs w:val="24"/>
        </w:rPr>
        <w:t>ligazn</w:t>
      </w:r>
      <w:r>
        <w:rPr>
          <w:rFonts w:eastAsia="Arial" w:ascii="Times New Roman" w:hAnsi="Times New Roman"/>
          <w:sz w:val="24"/>
          <w:szCs w:val="24"/>
          <w:lang w:val="ru-RU"/>
        </w:rPr>
        <w:t>.</w:t>
      </w:r>
      <w:r>
        <w:rPr>
          <w:rFonts w:eastAsia="Arial" w:ascii="Times New Roman" w:hAnsi="Times New Roman"/>
          <w:sz w:val="24"/>
          <w:szCs w:val="24"/>
        </w:rPr>
        <w:t>ru</w:t>
      </w:r>
      <w:r>
        <w:rPr>
          <w:rFonts w:eastAsia="Arial" w:ascii="Times New Roman" w:hAnsi="Times New Roman"/>
          <w:sz w:val="24"/>
          <w:szCs w:val="24"/>
          <w:lang w:val="ru-RU"/>
        </w:rPr>
        <w:t>/10000.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Регистрация волонтёров, участвующих в организации и проведении Акции, осуществляется через платформу «Добро.ру» в рамках размещённого «доброго дела» Лиги здоровья нации.</w:t>
      </w:r>
    </w:p>
    <w:p>
      <w:pPr>
        <w:pStyle w:val="Subheading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3. Проведение Акции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Центральной площадкой федеральной Акции 27 сентября 2026 года традиционно является ВДНХ - место расположения Маршрута здоровья № 1 Лиги здоровья нации.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Региональные и муниципальные площадки организуются 27 сентября либо в один из дней Недели ответственного отношения к сердцу с 28 сентября по 4 октября 2026 года. Конкретные дата, время и место проведения определяются организатором площадки.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Региональные мероприятия проводятся на маршрутах здоровья с участием волонтёров-инструкторов ЗОЖ, капитанов команд программы «Человек идущий», членов движения «Волонтёры за ЗОЖ», общественных и волонтёрских организаций.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Участникам предлагается пройти символические 10 000 шагов. Формат мероприятия может включать общую разминку, инструктаж, измерение артериального давления, прохождение маршрута, информационные и просветительские активности. Конкретная программа определяется организатором с учётом местных условий и рекомендаций Лиги здоровья нации.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Мероприятия проводятся в соответствии с рекомендациями Лиги здоровья нации на территории Российской Федерации и, при организации соответствующих площадок, государств - участников СНГ.</w:t>
      </w:r>
    </w:p>
    <w:p>
      <w:pPr>
        <w:pStyle w:val="SectionHeading"/>
        <w:pBdr>
          <w:bottom w:val="single" w:sz="8" w:space="1" w:color="17365D"/>
        </w:pBdr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ПОДВЕДЕНИЕ ИТОГОВ И ОТЧЁТНОСТЬ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Муниципальные образования направляют информацию об итогах ответственному за проведение Акции в соответствующем субъекте Российской Федерации. Администрации субъектов Российской Федерации или уполномоченные государственные/муниципальные структуры и учреждения обобщают сведения и направляют сводный отчёт в Лигу здоровья нации.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Срок направления сводного отчёта - до 7 октября 2026 года включительно.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 xml:space="preserve">Отчёт направляется в формате </w:t>
      </w:r>
      <w:r>
        <w:rPr>
          <w:rFonts w:eastAsia="Arial" w:ascii="Times New Roman" w:hAnsi="Times New Roman"/>
          <w:sz w:val="24"/>
          <w:szCs w:val="24"/>
        </w:rPr>
        <w:t>Word</w:t>
      </w:r>
      <w:r>
        <w:rPr>
          <w:rFonts w:eastAsia="Arial" w:ascii="Times New Roman" w:hAnsi="Times New Roman"/>
          <w:sz w:val="24"/>
          <w:szCs w:val="24"/>
          <w:lang w:val="ru-RU"/>
        </w:rPr>
        <w:t xml:space="preserve"> (не скан) на </w:t>
      </w:r>
      <w:r>
        <w:rPr>
          <w:rFonts w:eastAsia="Arial" w:ascii="Times New Roman" w:hAnsi="Times New Roman"/>
          <w:sz w:val="24"/>
          <w:szCs w:val="24"/>
        </w:rPr>
        <w:t>e</w:t>
      </w:r>
      <w:r>
        <w:rPr>
          <w:rFonts w:eastAsia="Arial" w:ascii="Times New Roman" w:hAnsi="Times New Roman"/>
          <w:sz w:val="24"/>
          <w:szCs w:val="24"/>
          <w:lang w:val="ru-RU"/>
        </w:rPr>
        <w:t>-</w:t>
      </w:r>
      <w:r>
        <w:rPr>
          <w:rFonts w:eastAsia="Arial" w:ascii="Times New Roman" w:hAnsi="Times New Roman"/>
          <w:sz w:val="24"/>
          <w:szCs w:val="24"/>
        </w:rPr>
        <w:t>mail</w:t>
      </w:r>
      <w:r>
        <w:rPr>
          <w:rFonts w:eastAsia="Arial" w:ascii="Times New Roman" w:hAnsi="Times New Roman"/>
          <w:sz w:val="24"/>
          <w:szCs w:val="24"/>
          <w:lang w:val="ru-RU"/>
        </w:rPr>
        <w:t>: 10000@</w:t>
      </w:r>
      <w:r>
        <w:rPr>
          <w:rFonts w:eastAsia="Arial" w:ascii="Times New Roman" w:hAnsi="Times New Roman"/>
          <w:sz w:val="24"/>
          <w:szCs w:val="24"/>
        </w:rPr>
        <w:t>ligazn</w:t>
      </w:r>
      <w:r>
        <w:rPr>
          <w:rFonts w:eastAsia="Arial" w:ascii="Times New Roman" w:hAnsi="Times New Roman"/>
          <w:sz w:val="24"/>
          <w:szCs w:val="24"/>
          <w:lang w:val="ru-RU"/>
        </w:rPr>
        <w:t>.</w:t>
      </w:r>
      <w:r>
        <w:rPr>
          <w:rFonts w:eastAsia="Arial" w:ascii="Times New Roman" w:hAnsi="Times New Roman"/>
          <w:sz w:val="24"/>
          <w:szCs w:val="24"/>
        </w:rPr>
        <w:t>ru</w:t>
      </w:r>
      <w:r>
        <w:rPr>
          <w:rFonts w:eastAsia="Arial" w:ascii="Times New Roman" w:hAnsi="Times New Roman"/>
          <w:sz w:val="24"/>
          <w:szCs w:val="24"/>
          <w:lang w:val="ru-RU"/>
        </w:rPr>
        <w:t>. В теме письма: «Отчёт о проведении Акции - [наименование субъекта Российской Федерации]».</w:t>
      </w:r>
    </w:p>
    <w:p>
      <w:pPr>
        <w:pStyle w:val="Subheading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Форма отчёта</w:t>
      </w:r>
    </w:p>
    <w:p>
      <w:pPr>
        <w:pStyle w:val="Normal"/>
        <w:spacing w:before="0" w:after="60"/>
        <w:ind w:left="113" w:hanging="113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1. </w:t>
      </w:r>
      <w:r>
        <w:rPr>
          <w:rFonts w:eastAsia="Arial" w:ascii="Times New Roman" w:hAnsi="Times New Roman"/>
          <w:sz w:val="24"/>
          <w:szCs w:val="24"/>
          <w:lang w:val="ru-RU"/>
        </w:rPr>
        <w:t>Субъект Российской Федерации.</w:t>
      </w:r>
    </w:p>
    <w:p>
      <w:pPr>
        <w:pStyle w:val="Normal"/>
        <w:spacing w:before="0" w:after="60"/>
        <w:ind w:left="113" w:hanging="113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2. </w:t>
      </w:r>
      <w:r>
        <w:rPr>
          <w:rFonts w:eastAsia="Arial" w:ascii="Times New Roman" w:hAnsi="Times New Roman"/>
          <w:sz w:val="24"/>
          <w:szCs w:val="24"/>
          <w:lang w:val="ru-RU"/>
        </w:rPr>
        <w:t>Дата или даты проведения мероприятий.</w:t>
      </w:r>
    </w:p>
    <w:p>
      <w:pPr>
        <w:pStyle w:val="Normal"/>
        <w:spacing w:before="0" w:after="60"/>
        <w:ind w:left="113" w:hanging="113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3. </w:t>
      </w:r>
      <w:r>
        <w:rPr>
          <w:rFonts w:eastAsia="Arial" w:ascii="Times New Roman" w:hAnsi="Times New Roman"/>
          <w:sz w:val="24"/>
          <w:szCs w:val="24"/>
          <w:lang w:val="ru-RU"/>
        </w:rPr>
        <w:t>Количество муниципальных образований в субъекте Российской Федерации.</w:t>
      </w:r>
    </w:p>
    <w:p>
      <w:pPr>
        <w:pStyle w:val="Normal"/>
        <w:spacing w:before="0" w:after="60"/>
        <w:ind w:left="113" w:hanging="113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4. </w:t>
      </w:r>
      <w:r>
        <w:rPr>
          <w:rFonts w:eastAsia="Arial" w:ascii="Times New Roman" w:hAnsi="Times New Roman"/>
          <w:sz w:val="24"/>
          <w:szCs w:val="24"/>
          <w:lang w:val="ru-RU"/>
        </w:rPr>
        <w:t>Количество муниципальных образований, принявших участие в Акции.</w:t>
      </w:r>
    </w:p>
    <w:p>
      <w:pPr>
        <w:pStyle w:val="Normal"/>
        <w:spacing w:before="0" w:after="60"/>
        <w:ind w:left="113" w:hanging="113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5. </w:t>
      </w:r>
      <w:r>
        <w:rPr>
          <w:rFonts w:eastAsia="Arial" w:ascii="Times New Roman" w:hAnsi="Times New Roman"/>
          <w:sz w:val="24"/>
          <w:szCs w:val="24"/>
          <w:lang w:val="ru-RU"/>
        </w:rPr>
        <w:t>Количество участников.</w:t>
      </w:r>
    </w:p>
    <w:p>
      <w:pPr>
        <w:pStyle w:val="Normal"/>
        <w:spacing w:before="0" w:after="60"/>
        <w:ind w:left="113" w:hanging="113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6. </w:t>
      </w:r>
      <w:r>
        <w:rPr>
          <w:rFonts w:eastAsia="Arial" w:ascii="Times New Roman" w:hAnsi="Times New Roman"/>
          <w:sz w:val="24"/>
          <w:szCs w:val="24"/>
          <w:lang w:val="ru-RU"/>
        </w:rPr>
        <w:t>Количество маршрутов здоровья, задействованных в проведении Акции; при наличии - количество новых/открытых маршрутов.</w:t>
      </w:r>
    </w:p>
    <w:p>
      <w:pPr>
        <w:pStyle w:val="Normal"/>
        <w:spacing w:before="0" w:after="60"/>
        <w:ind w:left="113" w:hanging="113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7. </w:t>
      </w:r>
      <w:r>
        <w:rPr>
          <w:rFonts w:eastAsia="Arial" w:ascii="Times New Roman" w:hAnsi="Times New Roman"/>
          <w:sz w:val="24"/>
          <w:szCs w:val="24"/>
          <w:lang w:val="ru-RU"/>
        </w:rPr>
        <w:t>Ссылки на публикации в СМИ, информационных порталах и видеосюжеты.</w:t>
      </w:r>
    </w:p>
    <w:p>
      <w:pPr>
        <w:pStyle w:val="Normal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К отчёту могут прилагаться фото- и видеоматериалы: до 10 наиболее ярких фотографий; рекомендуемый хронометраж видео - до 10 минут.</w:t>
      </w:r>
    </w:p>
    <w:p>
      <w:pPr>
        <w:pStyle w:val="SectionHeading"/>
        <w:pBdr>
          <w:bottom w:val="single" w:sz="8" w:space="1" w:color="17365D"/>
        </w:pBdr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ТИПОВОЙ СЦЕНАРНЫЙ ПЛАН</w:t>
      </w:r>
    </w:p>
    <w:p>
      <w:pPr>
        <w:pStyle w:val="SmallNote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i/>
          <w:sz w:val="24"/>
          <w:szCs w:val="24"/>
          <w:lang w:val="ru-RU"/>
        </w:rPr>
        <w:t>Типовой план носит рекомендательный характер и адаптируется организаторами с учётом даты, площадки, количества участников и местных условий.</w:t>
      </w:r>
    </w:p>
    <w:p>
      <w:pPr>
        <w:pStyle w:val="Subheading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Торжественное открытие акции «10 000 шагов к жизни»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Дата: </w:t>
      </w:r>
      <w:r>
        <w:rPr>
          <w:rFonts w:eastAsia="Arial" w:ascii="Times New Roman" w:hAnsi="Times New Roman"/>
          <w:sz w:val="24"/>
          <w:szCs w:val="24"/>
          <w:lang w:val="ru-RU"/>
        </w:rPr>
        <w:t>27 сентября 2026 года либо один из дней 28 сентября - 4 октября 2026 года.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Место: </w:t>
      </w:r>
      <w:r>
        <w:rPr>
          <w:rFonts w:eastAsia="Arial" w:ascii="Times New Roman" w:hAnsi="Times New Roman"/>
          <w:sz w:val="24"/>
          <w:szCs w:val="24"/>
          <w:lang w:val="ru-RU"/>
        </w:rPr>
        <w:t>Определяется организатором региональной/муниципальной площадки.</w:t>
      </w:r>
    </w:p>
    <w:tbl>
      <w:tblPr>
        <w:tblW w:w="10635" w:type="dxa"/>
        <w:jc w:val="left"/>
        <w:tblInd w:w="-221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noVBand="1" w:val="04a0" w:noHBand="0" w:lastColumn="0" w:firstColumn="1" w:lastRow="0" w:firstRow="1"/>
      </w:tblPr>
      <w:tblGrid>
        <w:gridCol w:w="5100"/>
        <w:gridCol w:w="5535"/>
      </w:tblGrid>
      <w:tr>
        <w:trPr/>
        <w:tc>
          <w:tcPr>
            <w:tcW w:w="510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color="auto" w:fill="17365D" w:val="clear"/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b/>
                <w:color w:val="FFFFFF"/>
                <w:sz w:val="24"/>
                <w:szCs w:val="24"/>
              </w:rPr>
              <w:t>Время</w:t>
            </w:r>
          </w:p>
        </w:tc>
        <w:tc>
          <w:tcPr>
            <w:tcW w:w="55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color="auto" w:fill="17365D" w:val="clear"/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b/>
                <w:color w:val="FFFFFF"/>
                <w:sz w:val="24"/>
                <w:szCs w:val="24"/>
              </w:rPr>
              <w:t>Содержание</w:t>
            </w:r>
          </w:p>
        </w:tc>
      </w:tr>
      <w:tr>
        <w:trPr/>
        <w:tc>
          <w:tcPr>
            <w:tcW w:w="510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b/>
                <w:color w:val="17365D"/>
                <w:sz w:val="24"/>
                <w:szCs w:val="24"/>
              </w:rPr>
              <w:t>08:00-10:00</w:t>
            </w:r>
          </w:p>
        </w:tc>
        <w:tc>
          <w:tcPr>
            <w:tcW w:w="55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Arial" w:ascii="Times New Roman" w:hAnsi="Times New Roman"/>
                <w:sz w:val="24"/>
                <w:szCs w:val="24"/>
                <w:lang w:val="ru-RU"/>
              </w:rPr>
              <w:t>Подготовка площадки: монтаж зоны открытия, оформление, установка звукового оборудования и, при необходимости, зоны измерения артериального давления.</w:t>
            </w:r>
          </w:p>
        </w:tc>
      </w:tr>
      <w:tr>
        <w:trPr/>
        <w:tc>
          <w:tcPr>
            <w:tcW w:w="510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b/>
                <w:color w:val="17365D"/>
                <w:sz w:val="24"/>
                <w:szCs w:val="24"/>
              </w:rPr>
              <w:t>10:00-11:00</w:t>
            </w:r>
          </w:p>
        </w:tc>
        <w:tc>
          <w:tcPr>
            <w:tcW w:w="55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sz w:val="24"/>
                <w:szCs w:val="24"/>
                <w:lang w:val="ru-RU"/>
              </w:rPr>
              <w:t xml:space="preserve">Сбор участников: жители муниципалитета, представители трудовых коллективов, студенты и учащиеся, общественные и волонтёрские организации. </w:t>
            </w:r>
            <w:r>
              <w:rPr>
                <w:rFonts w:eastAsia="Arial" w:ascii="Times New Roman" w:hAnsi="Times New Roman"/>
                <w:sz w:val="24"/>
                <w:szCs w:val="24"/>
              </w:rPr>
              <w:t>Работа волонтёров-инструкторов ЗОЖ.</w:t>
            </w:r>
          </w:p>
        </w:tc>
      </w:tr>
      <w:tr>
        <w:trPr/>
        <w:tc>
          <w:tcPr>
            <w:tcW w:w="510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b/>
                <w:color w:val="17365D"/>
                <w:sz w:val="24"/>
                <w:szCs w:val="24"/>
              </w:rPr>
              <w:t>11:00</w:t>
            </w:r>
          </w:p>
        </w:tc>
        <w:tc>
          <w:tcPr>
            <w:tcW w:w="55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Arial" w:ascii="Times New Roman" w:hAnsi="Times New Roman"/>
                <w:sz w:val="24"/>
                <w:szCs w:val="24"/>
                <w:lang w:val="ru-RU"/>
              </w:rPr>
              <w:t>Музыкальное сопровождение, инструктаж участников, при наличии медицинской зоны - измерение артериального давления.</w:t>
            </w:r>
          </w:p>
        </w:tc>
      </w:tr>
      <w:tr>
        <w:trPr/>
        <w:tc>
          <w:tcPr>
            <w:tcW w:w="510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b/>
                <w:color w:val="17365D"/>
                <w:sz w:val="24"/>
                <w:szCs w:val="24"/>
              </w:rPr>
              <w:t>11:30</w:t>
            </w:r>
          </w:p>
        </w:tc>
        <w:tc>
          <w:tcPr>
            <w:tcW w:w="55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Arial" w:ascii="Times New Roman" w:hAnsi="Times New Roman"/>
                <w:sz w:val="24"/>
                <w:szCs w:val="24"/>
                <w:lang w:val="ru-RU"/>
              </w:rPr>
              <w:t>Пресс-подход и работа со СМИ - по решению организатора.</w:t>
            </w:r>
          </w:p>
        </w:tc>
      </w:tr>
      <w:tr>
        <w:trPr/>
        <w:tc>
          <w:tcPr>
            <w:tcW w:w="510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b/>
                <w:color w:val="17365D"/>
                <w:sz w:val="24"/>
                <w:szCs w:val="24"/>
              </w:rPr>
              <w:t>11:45</w:t>
            </w:r>
          </w:p>
        </w:tc>
        <w:tc>
          <w:tcPr>
            <w:tcW w:w="55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Arial" w:ascii="Times New Roman" w:hAnsi="Times New Roman"/>
                <w:sz w:val="24"/>
                <w:szCs w:val="24"/>
                <w:lang w:val="ru-RU"/>
              </w:rPr>
              <w:t>Массовая зарядка; выступления спортсменов, артистов и общественных деятелей - по согласованию.</w:t>
            </w:r>
          </w:p>
        </w:tc>
      </w:tr>
      <w:tr>
        <w:trPr/>
        <w:tc>
          <w:tcPr>
            <w:tcW w:w="510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b/>
                <w:color w:val="17365D"/>
                <w:sz w:val="24"/>
                <w:szCs w:val="24"/>
              </w:rPr>
              <w:t>12:00</w:t>
            </w:r>
          </w:p>
        </w:tc>
        <w:tc>
          <w:tcPr>
            <w:tcW w:w="55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Arial" w:ascii="Times New Roman" w:hAnsi="Times New Roman"/>
                <w:sz w:val="24"/>
                <w:szCs w:val="24"/>
                <w:lang w:val="ru-RU"/>
              </w:rPr>
              <w:t>Торжественное открытие, приветствия организаторов и почётных гостей.</w:t>
            </w:r>
          </w:p>
        </w:tc>
      </w:tr>
      <w:tr>
        <w:trPr/>
        <w:tc>
          <w:tcPr>
            <w:tcW w:w="510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b/>
                <w:color w:val="17365D"/>
                <w:sz w:val="24"/>
                <w:szCs w:val="24"/>
              </w:rPr>
              <w:t>12:15</w:t>
            </w:r>
          </w:p>
        </w:tc>
        <w:tc>
          <w:tcPr>
            <w:tcW w:w="55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Arial" w:ascii="Times New Roman" w:hAnsi="Times New Roman"/>
                <w:sz w:val="24"/>
                <w:szCs w:val="24"/>
                <w:lang w:val="ru-RU"/>
              </w:rPr>
              <w:t>Старт прохождения маршрута. Общее фото участников.</w:t>
            </w:r>
          </w:p>
        </w:tc>
      </w:tr>
      <w:tr>
        <w:trPr/>
        <w:tc>
          <w:tcPr>
            <w:tcW w:w="5100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Arial" w:ascii="Times New Roman" w:hAnsi="Times New Roman"/>
                <w:b/>
                <w:color w:val="17365D"/>
                <w:sz w:val="24"/>
                <w:szCs w:val="24"/>
              </w:rPr>
              <w:t>до 14:00</w:t>
            </w:r>
          </w:p>
        </w:tc>
        <w:tc>
          <w:tcPr>
            <w:tcW w:w="5535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</w:tcPr>
          <w:p>
            <w:pPr>
              <w:pStyle w:val="Normal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eastAsia="Arial" w:ascii="Times New Roman" w:hAnsi="Times New Roman"/>
                <w:sz w:val="24"/>
                <w:szCs w:val="24"/>
                <w:lang w:val="ru-RU"/>
              </w:rPr>
              <w:t>Финиш, подведение итогов площадки, вручение памятных сертификатов - при наличии.</w:t>
            </w:r>
          </w:p>
        </w:tc>
      </w:tr>
    </w:tbl>
    <w:p>
      <w:pPr>
        <w:pStyle w:val="SectionHeading"/>
        <w:pBdr>
          <w:bottom w:val="single" w:sz="8" w:space="1" w:color="17365D"/>
        </w:pBdr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  <w:lang w:val="ru-RU"/>
        </w:rPr>
        <w:t>ИНФОРМАЦИОННЫЕ РЕСУРСЫ</w:t>
      </w:r>
    </w:p>
    <w:p>
      <w:pPr>
        <w:pStyle w:val="Normal"/>
        <w:spacing w:before="0" w:after="60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Регистрация участников: </w:t>
      </w:r>
      <w:r>
        <w:rPr>
          <w:rFonts w:eastAsia="Arial" w:ascii="Times New Roman" w:hAnsi="Times New Roman"/>
          <w:sz w:val="24"/>
          <w:szCs w:val="24"/>
        </w:rPr>
        <w:t>https</w:t>
      </w:r>
      <w:r>
        <w:rPr>
          <w:rFonts w:eastAsia="Arial" w:ascii="Times New Roman" w:hAnsi="Times New Roman"/>
          <w:sz w:val="24"/>
          <w:szCs w:val="24"/>
          <w:lang w:val="ru-RU"/>
        </w:rPr>
        <w:t>://</w:t>
      </w:r>
      <w:r>
        <w:rPr>
          <w:rFonts w:eastAsia="Arial" w:ascii="Times New Roman" w:hAnsi="Times New Roman"/>
          <w:sz w:val="24"/>
          <w:szCs w:val="24"/>
        </w:rPr>
        <w:t>ligazn</w:t>
      </w:r>
      <w:r>
        <w:rPr>
          <w:rFonts w:eastAsia="Arial" w:ascii="Times New Roman" w:hAnsi="Times New Roman"/>
          <w:sz w:val="24"/>
          <w:szCs w:val="24"/>
          <w:lang w:val="ru-RU"/>
        </w:rPr>
        <w:t>.</w:t>
      </w:r>
      <w:r>
        <w:rPr>
          <w:rFonts w:eastAsia="Arial" w:ascii="Times New Roman" w:hAnsi="Times New Roman"/>
          <w:sz w:val="24"/>
          <w:szCs w:val="24"/>
        </w:rPr>
        <w:t>ru</w:t>
      </w:r>
      <w:r>
        <w:rPr>
          <w:rFonts w:eastAsia="Arial" w:ascii="Times New Roman" w:hAnsi="Times New Roman"/>
          <w:sz w:val="24"/>
          <w:szCs w:val="24"/>
          <w:lang w:val="ru-RU"/>
        </w:rPr>
        <w:t>/10000</w:t>
      </w:r>
    </w:p>
    <w:p>
      <w:pPr>
        <w:pStyle w:val="Normal"/>
        <w:spacing w:before="0" w:after="60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  <w:lang w:val="ru-RU"/>
        </w:rPr>
        <w:t xml:space="preserve">Трансляция рабочего совещания / инструктажа: </w:t>
      </w:r>
      <w:r>
        <w:rPr>
          <w:rFonts w:eastAsia="Arial" w:ascii="Times New Roman" w:hAnsi="Times New Roman"/>
          <w:sz w:val="24"/>
          <w:szCs w:val="24"/>
        </w:rPr>
        <w:t>https</w:t>
      </w:r>
      <w:r>
        <w:rPr>
          <w:rFonts w:eastAsia="Arial" w:ascii="Times New Roman" w:hAnsi="Times New Roman"/>
          <w:sz w:val="24"/>
          <w:szCs w:val="24"/>
          <w:lang w:val="ru-RU"/>
        </w:rPr>
        <w:t>://</w:t>
      </w:r>
      <w:r>
        <w:rPr>
          <w:rFonts w:eastAsia="Arial" w:ascii="Times New Roman" w:hAnsi="Times New Roman"/>
          <w:sz w:val="24"/>
          <w:szCs w:val="24"/>
        </w:rPr>
        <w:t>vk</w:t>
      </w:r>
      <w:r>
        <w:rPr>
          <w:rFonts w:eastAsia="Arial" w:ascii="Times New Roman" w:hAnsi="Times New Roman"/>
          <w:sz w:val="24"/>
          <w:szCs w:val="24"/>
          <w:lang w:val="ru-RU"/>
        </w:rPr>
        <w:t>.</w:t>
      </w:r>
      <w:r>
        <w:rPr>
          <w:rFonts w:eastAsia="Arial" w:ascii="Times New Roman" w:hAnsi="Times New Roman"/>
          <w:sz w:val="24"/>
          <w:szCs w:val="24"/>
        </w:rPr>
        <w:t>ru</w:t>
      </w:r>
      <w:r>
        <w:rPr>
          <w:rFonts w:eastAsia="Arial" w:ascii="Times New Roman" w:hAnsi="Times New Roman"/>
          <w:sz w:val="24"/>
          <w:szCs w:val="24"/>
          <w:lang w:val="ru-RU"/>
        </w:rPr>
        <w:t>/10</w:t>
      </w:r>
      <w:r>
        <w:rPr>
          <w:rFonts w:eastAsia="Arial" w:ascii="Times New Roman" w:hAnsi="Times New Roman"/>
          <w:sz w:val="24"/>
          <w:szCs w:val="24"/>
        </w:rPr>
        <w:t>kstepstolife</w:t>
      </w:r>
      <w:r>
        <w:rPr>
          <w:rFonts w:eastAsia="Arial" w:ascii="Times New Roman" w:hAnsi="Times New Roman"/>
          <w:sz w:val="24"/>
          <w:szCs w:val="24"/>
          <w:lang w:val="ru-RU"/>
        </w:rPr>
        <w:t>?</w:t>
      </w:r>
      <w:r>
        <w:rPr>
          <w:rFonts w:eastAsia="Arial" w:ascii="Times New Roman" w:hAnsi="Times New Roman"/>
          <w:sz w:val="24"/>
          <w:szCs w:val="24"/>
        </w:rPr>
        <w:t>z</w:t>
      </w:r>
      <w:r>
        <w:rPr>
          <w:rFonts w:eastAsia="Arial" w:ascii="Times New Roman" w:hAnsi="Times New Roman"/>
          <w:sz w:val="24"/>
          <w:szCs w:val="24"/>
          <w:lang w:val="ru-RU"/>
        </w:rPr>
        <w:t>=</w:t>
      </w:r>
      <w:r>
        <w:rPr>
          <w:rFonts w:eastAsia="Arial" w:ascii="Times New Roman" w:hAnsi="Times New Roman"/>
          <w:sz w:val="24"/>
          <w:szCs w:val="24"/>
        </w:rPr>
        <w:t>video</w:t>
      </w:r>
      <w:r>
        <w:rPr>
          <w:rFonts w:eastAsia="Arial" w:ascii="Times New Roman" w:hAnsi="Times New Roman"/>
          <w:sz w:val="24"/>
          <w:szCs w:val="24"/>
          <w:lang w:val="ru-RU"/>
        </w:rPr>
        <w:t>-77565823_456239492</w:t>
      </w:r>
    </w:p>
    <w:p>
      <w:pPr>
        <w:pStyle w:val="Normal"/>
        <w:spacing w:before="0" w:after="60"/>
        <w:rPr>
          <w:rFonts w:ascii="Times New Roman" w:hAnsi="Times New Roman"/>
          <w:sz w:val="24"/>
          <w:szCs w:val="24"/>
        </w:rPr>
      </w:pPr>
      <w:r>
        <w:rPr>
          <w:rFonts w:eastAsia="Arial" w:ascii="Times New Roman" w:hAnsi="Times New Roman"/>
          <w:b/>
          <w:color w:val="17365D"/>
          <w:sz w:val="24"/>
          <w:szCs w:val="24"/>
        </w:rPr>
        <w:t xml:space="preserve">Отчётность: </w:t>
      </w:r>
      <w:r>
        <w:rPr>
          <w:rFonts w:eastAsia="Arial" w:ascii="Times New Roman" w:hAnsi="Times New Roman"/>
          <w:sz w:val="24"/>
          <w:szCs w:val="24"/>
        </w:rPr>
        <w:t>10000@ligazn.ru</w:t>
      </w:r>
    </w:p>
    <w:sectPr>
      <w:headerReference w:type="default" r:id="rId2"/>
      <w:footerReference w:type="default" r:id="rId3"/>
      <w:type w:val="nextPage"/>
      <w:pgSz w:w="12240" w:h="15840"/>
      <w:pgMar w:left="1020" w:right="1020" w:header="283" w:top="907" w:footer="340" w:bottom="90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pBdr>
        <w:bottom w:val="single" w:sz="8" w:space="1" w:color="17365D"/>
      </w:pBdr>
      <w:jc w:val="center"/>
      <w:rPr>
        <w:rFonts w:ascii="Times New Roman" w:hAnsi="Times New Roman"/>
        <w:sz w:val="22"/>
        <w:szCs w:val="22"/>
      </w:rPr>
    </w:pPr>
    <w:r>
      <w:rPr>
        <w:rFonts w:eastAsia="Arial" w:ascii="Times New Roman" w:hAnsi="Times New Roman"/>
        <w:color w:val="17365D"/>
        <w:sz w:val="22"/>
        <w:szCs w:val="22"/>
        <w:lang w:val="ru-RU"/>
      </w:rPr>
      <w:t xml:space="preserve">107031, Москва, ул. Большая Дмитровка, д. 22, стр. 1   •   тел.: (495) 638-66-99   •   </w:t>
    </w:r>
    <w:r>
      <w:rPr>
        <w:rFonts w:eastAsia="Arial" w:ascii="Times New Roman" w:hAnsi="Times New Roman"/>
        <w:color w:val="17365D"/>
        <w:sz w:val="22"/>
        <w:szCs w:val="22"/>
      </w:rPr>
      <w:t>www</w:t>
    </w:r>
    <w:r>
      <w:rPr>
        <w:rFonts w:eastAsia="Arial" w:ascii="Times New Roman" w:hAnsi="Times New Roman"/>
        <w:color w:val="17365D"/>
        <w:sz w:val="22"/>
        <w:szCs w:val="22"/>
        <w:lang w:val="ru-RU"/>
      </w:rPr>
      <w:t>.</w:t>
    </w:r>
    <w:r>
      <w:rPr>
        <w:rFonts w:eastAsia="Arial" w:ascii="Times New Roman" w:hAnsi="Times New Roman"/>
        <w:color w:val="17365D"/>
        <w:sz w:val="22"/>
        <w:szCs w:val="22"/>
      </w:rPr>
      <w:t>ligazn</w:t>
    </w:r>
    <w:r>
      <w:rPr>
        <w:rFonts w:eastAsia="Arial" w:ascii="Times New Roman" w:hAnsi="Times New Roman"/>
        <w:color w:val="17365D"/>
        <w:sz w:val="22"/>
        <w:szCs w:val="22"/>
        <w:lang w:val="ru-RU"/>
      </w:rPr>
      <w:t>.</w:t>
    </w:r>
    <w:r>
      <w:rPr>
        <w:rFonts w:eastAsia="Arial" w:ascii="Times New Roman" w:hAnsi="Times New Roman"/>
        <w:color w:val="17365D"/>
        <w:sz w:val="22"/>
        <w:szCs w:val="22"/>
      </w:rPr>
      <w:t>ru</w:t>
    </w:r>
    <w:r>
      <w:rPr>
        <w:rFonts w:eastAsia="Arial" w:ascii="Times New Roman" w:hAnsi="Times New Roman"/>
        <w:color w:val="17365D"/>
        <w:sz w:val="22"/>
        <w:szCs w:val="22"/>
        <w:lang w:val="ru-RU"/>
      </w:rPr>
      <w:t xml:space="preserve">   •   </w:t>
    </w:r>
    <w:r>
      <w:rPr>
        <w:rFonts w:eastAsia="Arial" w:ascii="Times New Roman" w:hAnsi="Times New Roman"/>
        <w:color w:val="17365D"/>
        <w:sz w:val="22"/>
        <w:szCs w:val="22"/>
      </w:rPr>
      <w:t>fond</w:t>
    </w:r>
    <w:r>
      <w:rPr>
        <w:rFonts w:eastAsia="Arial" w:ascii="Times New Roman" w:hAnsi="Times New Roman"/>
        <w:color w:val="17365D"/>
        <w:sz w:val="22"/>
        <w:szCs w:val="22"/>
        <w:lang w:val="ru-RU"/>
      </w:rPr>
      <w:t>@</w:t>
    </w:r>
    <w:r>
      <w:rPr>
        <w:rFonts w:eastAsia="Arial" w:ascii="Times New Roman" w:hAnsi="Times New Roman"/>
        <w:color w:val="17365D"/>
        <w:sz w:val="22"/>
        <w:szCs w:val="22"/>
      </w:rPr>
      <w:t>blago</w:t>
    </w:r>
    <w:r>
      <w:rPr>
        <w:rFonts w:eastAsia="Arial" w:ascii="Times New Roman" w:hAnsi="Times New Roman"/>
        <w:color w:val="17365D"/>
        <w:sz w:val="22"/>
        <w:szCs w:val="22"/>
        <w:lang w:val="ru-RU"/>
      </w:rPr>
      <w:t>.</w:t>
    </w:r>
    <w:r>
      <w:rPr>
        <w:rFonts w:eastAsia="Arial" w:ascii="Times New Roman" w:hAnsi="Times New Roman"/>
        <w:color w:val="17365D"/>
        <w:sz w:val="22"/>
        <w:szCs w:val="22"/>
      </w:rPr>
      <w:t>info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rPr/>
    </w:pPr>
    <w:r>
      <w:rPr/>
    </w:r>
  </w:p>
  <w:tbl>
    <w:tblPr>
      <w:tblW w:w="9922" w:type="dxa"/>
      <w:jc w:val="center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  <w:tblLook w:lastRow="0" w:firstRow="1" w:lastColumn="0" w:firstColumn="1" w:val="04a0" w:noHBand="0" w:noVBand="1"/>
    </w:tblPr>
    <w:tblGrid>
      <w:gridCol w:w="4961"/>
      <w:gridCol w:w="4960"/>
    </w:tblGrid>
    <w:tr>
      <w:trPr/>
      <w:tc>
        <w:tcPr>
          <w:tcW w:w="4961" w:type="dxa"/>
          <w:tcBorders/>
          <w:vAlign w:val="center"/>
        </w:tcPr>
        <w:p>
          <w:pPr>
            <w:pStyle w:val="Normal"/>
            <w:widowControl w:val="false"/>
            <w:spacing w:before="0" w:after="0"/>
            <w:rPr>
              <w:lang w:val="ru-RU"/>
            </w:rPr>
          </w:pPr>
          <w:r>
            <w:rPr>
              <w:rFonts w:eastAsia="Arial"/>
              <w:b/>
              <w:color w:val="17365D"/>
              <w:sz w:val="19"/>
              <w:lang w:val="ru-RU"/>
            </w:rPr>
            <w:t>ОБЩЕРОССИЙСКАЯ ОБЩЕСТВЕННАЯ ОРГАНИЗАЦИЯ</w:t>
            <w:br/>
            <w:t>«ЛИГА ЗДОРОВЬЯ НАЦИИ»</w:t>
          </w:r>
        </w:p>
      </w:tc>
      <w:tc>
        <w:tcPr>
          <w:tcW w:w="4960" w:type="dxa"/>
          <w:tcBorders/>
          <w:vAlign w:val="center"/>
        </w:tcPr>
        <w:p>
          <w:pPr>
            <w:pStyle w:val="Normal"/>
            <w:widowControl w:val="false"/>
            <w:spacing w:before="0" w:after="100"/>
            <w:jc w:val="right"/>
            <w:rPr/>
          </w:pPr>
          <w:r>
            <w:rPr/>
            <w:drawing>
              <wp:inline distT="0" distB="0" distL="0" distR="0">
                <wp:extent cx="629920" cy="396240"/>
                <wp:effectExtent l="0" t="0" r="0" b="0"/>
                <wp:docPr id="1" name="Picture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920" cy="396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"/>
      <w:pBdr>
        <w:bottom w:val="single" w:sz="18" w:space="1" w:color="17365D"/>
      </w:pBdr>
      <w:spacing w:before="0" w:after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59" w:before="0" w:after="100"/>
      <w:jc w:val="left"/>
    </w:pPr>
    <w:rPr>
      <w:rFonts w:ascii="Arial" w:hAnsi="Arial" w:eastAsia="ＭＳ 明朝" w:cs="" w:cstheme="minorBidi" w:eastAsiaTheme="minorEastAsia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22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link w:val="32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basedOn w:val="DefaultParagraphFont"/>
    <w:link w:val="a5"/>
    <w:uiPriority w:val="99"/>
    <w:qFormat/>
    <w:rsid w:val="00e618bf"/>
    <w:rPr/>
  </w:style>
  <w:style w:type="character" w:styleId="Style6" w:customStyle="1">
    <w:name w:val="Нижний колонтитул Знак"/>
    <w:basedOn w:val="DefaultParagraphFont"/>
    <w:link w:val="a7"/>
    <w:uiPriority w:val="99"/>
    <w:qFormat/>
    <w:rsid w:val="00e618bf"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21" w:customStyle="1">
    <w:name w:val="Заголовок 2 Знак"/>
    <w:basedOn w:val="DefaultParagraphFont"/>
    <w:link w:val="2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31" w:customStyle="1">
    <w:name w:val="Заголовок 3 Знак"/>
    <w:basedOn w:val="DefaultParagraphFont"/>
    <w:link w:val="3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Style7" w:customStyle="1">
    <w:name w:val="Заголовок Знак"/>
    <w:basedOn w:val="DefaultParagraphFont"/>
    <w:link w:val="aa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tyle8" w:customStyle="1">
    <w:name w:val="Подзаголовок Знак"/>
    <w:basedOn w:val="DefaultParagraphFont"/>
    <w:link w:val="ac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tyle9" w:customStyle="1">
    <w:name w:val="Основной текст Знак"/>
    <w:basedOn w:val="DefaultParagraphFont"/>
    <w:link w:val="af"/>
    <w:uiPriority w:val="99"/>
    <w:qFormat/>
    <w:rsid w:val="00aa1d8d"/>
    <w:rPr/>
  </w:style>
  <w:style w:type="character" w:styleId="22" w:customStyle="1">
    <w:name w:val="Основной текст 2 Знак"/>
    <w:basedOn w:val="DefaultParagraphFont"/>
    <w:link w:val="23"/>
    <w:uiPriority w:val="99"/>
    <w:qFormat/>
    <w:rsid w:val="00aa1d8d"/>
    <w:rPr/>
  </w:style>
  <w:style w:type="character" w:styleId="32" w:customStyle="1">
    <w:name w:val="Основной текст 3 Знак"/>
    <w:basedOn w:val="DefaultParagraphFont"/>
    <w:link w:val="33"/>
    <w:uiPriority w:val="99"/>
    <w:qFormat/>
    <w:rsid w:val="00aa1d8d"/>
    <w:rPr>
      <w:sz w:val="16"/>
      <w:szCs w:val="16"/>
    </w:rPr>
  </w:style>
  <w:style w:type="character" w:styleId="Style10" w:customStyle="1">
    <w:name w:val="Текст макроса Знак"/>
    <w:basedOn w:val="DefaultParagraphFont"/>
    <w:link w:val="af3"/>
    <w:uiPriority w:val="99"/>
    <w:qFormat/>
    <w:rsid w:val="0029639d"/>
    <w:rPr>
      <w:rFonts w:ascii="Courier" w:hAnsi="Courier"/>
      <w:sz w:val="20"/>
      <w:szCs w:val="20"/>
    </w:rPr>
  </w:style>
  <w:style w:type="character" w:styleId="23" w:customStyle="1">
    <w:name w:val="Цитата 2 Знак"/>
    <w:basedOn w:val="DefaultParagraphFont"/>
    <w:link w:val="27"/>
    <w:uiPriority w:val="29"/>
    <w:qFormat/>
    <w:rsid w:val="00fc693f"/>
    <w:rPr>
      <w:i/>
      <w:iCs/>
      <w:color w:val="000000" w:themeColor="text1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Style11">
    <w:name w:val="Выделение"/>
    <w:basedOn w:val="DefaultParagraphFont"/>
    <w:uiPriority w:val="20"/>
    <w:qFormat/>
    <w:rsid w:val="00fc693f"/>
    <w:rPr>
      <w:i/>
      <w:iCs/>
    </w:rPr>
  </w:style>
  <w:style w:type="character" w:styleId="Style12" w:customStyle="1">
    <w:name w:val="Выделенная цитата Знак"/>
    <w:basedOn w:val="DefaultParagraphFont"/>
    <w:link w:val="af8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Droid Sans Fallback" w:cs="Droid Sans Devanagari"/>
      <w:sz w:val="28"/>
      <w:szCs w:val="28"/>
    </w:rPr>
  </w:style>
  <w:style w:type="paragraph" w:styleId="Style14">
    <w:name w:val="Body Text"/>
    <w:basedOn w:val="Normal"/>
    <w:link w:val="af0"/>
    <w:uiPriority w:val="99"/>
    <w:unhideWhenUsed/>
    <w:rsid w:val="00aa1d8d"/>
    <w:pPr>
      <w:spacing w:before="0" w:after="120"/>
    </w:pPr>
    <w:rPr/>
  </w:style>
  <w:style w:type="paragraph" w:styleId="Style15">
    <w:name w:val="List"/>
    <w:basedOn w:val="Normal"/>
    <w:uiPriority w:val="99"/>
    <w:unhideWhenUsed/>
    <w:rsid w:val="00aa1d8d"/>
    <w:pPr>
      <w:spacing w:before="0" w:after="100"/>
      <w:ind w:left="360" w:hanging="360"/>
      <w:contextualSpacing/>
    </w:pPr>
    <w:rPr/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18">
    <w:name w:val="Верхний и нижний колонтитулы"/>
    <w:basedOn w:val="Normal"/>
    <w:qFormat/>
    <w:pPr/>
    <w:rPr/>
  </w:style>
  <w:style w:type="paragraph" w:styleId="Style19">
    <w:name w:val="Header"/>
    <w:basedOn w:val="Normal"/>
    <w:link w:val="a6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yle20">
    <w:name w:val="Footer"/>
    <w:basedOn w:val="Normal"/>
    <w:link w:val="a8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Style21">
    <w:name w:val="Title"/>
    <w:basedOn w:val="Normal"/>
    <w:next w:val="Normal"/>
    <w:link w:val="ab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tyle22">
    <w:name w:val="Subtitle"/>
    <w:basedOn w:val="Normal"/>
    <w:next w:val="Normal"/>
    <w:link w:val="ad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00"/>
      <w:ind w:left="720" w:hanging="0"/>
      <w:contextualSpacing/>
    </w:pPr>
    <w:rPr/>
  </w:style>
  <w:style w:type="paragraph" w:styleId="BodyText2">
    <w:name w:val="Body Text 2"/>
    <w:basedOn w:val="Normal"/>
    <w:link w:val="24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34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24">
    <w:name w:val="List Bullet 3"/>
    <w:basedOn w:val="Normal"/>
    <w:uiPriority w:val="99"/>
    <w:unhideWhenUsed/>
    <w:rsid w:val="00326f90"/>
    <w:pPr>
      <w:spacing w:before="0" w:after="100"/>
      <w:ind w:left="720" w:hanging="360"/>
      <w:contextualSpacing/>
    </w:pPr>
    <w:rPr/>
  </w:style>
  <w:style w:type="paragraph" w:styleId="33">
    <w:name w:val="List Bullet 4"/>
    <w:basedOn w:val="Normal"/>
    <w:uiPriority w:val="99"/>
    <w:unhideWhenUsed/>
    <w:rsid w:val="00326f90"/>
    <w:pPr>
      <w:spacing w:before="0" w:after="1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1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1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1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1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1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1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af4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28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af9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1"/>
    <w:next w:val="Normal"/>
    <w:uiPriority w:val="39"/>
    <w:semiHidden/>
    <w:unhideWhenUsed/>
    <w:qFormat/>
    <w:rsid w:val="00fc693f"/>
    <w:pPr/>
    <w:rPr/>
  </w:style>
  <w:style w:type="paragraph" w:styleId="SectionHeading" w:customStyle="1">
    <w:name w:val="Section Heading"/>
    <w:qFormat/>
    <w:pPr>
      <w:widowControl/>
      <w:bidi w:val="0"/>
      <w:spacing w:lineRule="auto" w:line="276" w:before="200" w:after="100"/>
      <w:jc w:val="left"/>
    </w:pPr>
    <w:rPr>
      <w:rFonts w:ascii="Arial" w:hAnsi="Arial" w:eastAsia="ＭＳ 明朝" w:cs=""/>
      <w:b/>
      <w:color w:val="17365D"/>
      <w:kern w:val="0"/>
      <w:sz w:val="26"/>
      <w:szCs w:val="22"/>
      <w:lang w:val="en-US" w:eastAsia="en-US" w:bidi="ar-SA"/>
    </w:rPr>
  </w:style>
  <w:style w:type="paragraph" w:styleId="Subheading" w:customStyle="1">
    <w:name w:val="Subheading"/>
    <w:qFormat/>
    <w:pPr>
      <w:widowControl/>
      <w:bidi w:val="0"/>
      <w:spacing w:lineRule="auto" w:line="276" w:before="140" w:after="60"/>
      <w:jc w:val="left"/>
    </w:pPr>
    <w:rPr>
      <w:rFonts w:ascii="Arial" w:hAnsi="Arial" w:eastAsia="ＭＳ 明朝" w:cs=""/>
      <w:b/>
      <w:color w:val="17365D"/>
      <w:kern w:val="0"/>
      <w:sz w:val="23"/>
      <w:szCs w:val="22"/>
      <w:lang w:val="en-US" w:eastAsia="en-US" w:bidi="ar-SA"/>
    </w:rPr>
  </w:style>
  <w:style w:type="paragraph" w:styleId="SmallNote" w:customStyle="1">
    <w:name w:val="Small Note"/>
    <w:qFormat/>
    <w:pPr>
      <w:widowControl/>
      <w:bidi w:val="0"/>
      <w:spacing w:lineRule="auto" w:line="276" w:before="0" w:after="60"/>
      <w:jc w:val="left"/>
    </w:pPr>
    <w:rPr>
      <w:rFonts w:ascii="Arial" w:hAnsi="Arial" w:eastAsia="ＭＳ 明朝" w:cs=""/>
      <w:color w:val="666666"/>
      <w:kern w:val="0"/>
      <w:sz w:val="19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7E3928-8401-4CA1-88F4-7DB8DEED7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LibreOffice/7.0.6.2$Linux_X86_64 LibreOffice_project/00$Build-2</Application>
  <AppVersion>15.0000</AppVersion>
  <Pages>5</Pages>
  <Words>1272</Words>
  <Characters>9281</Characters>
  <CharactersWithSpaces>10466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2026-09-05T19:00:00Z</dcterms:created>
  <dc:creator>python-docx</dc:creator>
  <dc:description>generated by python-docx</dc:description>
  <dc:language>ru-RU</dc:language>
  <cp:lastModifiedBy/>
  <dcterms:modified xsi:type="dcterms:W3CDTF">2026-09-16T11:34:06Z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